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2CE5" w14:textId="2387A244" w:rsidR="006C09DD" w:rsidRDefault="00906EE8" w:rsidP="006C09DD">
      <w:pPr>
        <w:widowControl w:val="0"/>
        <w:jc w:val="both"/>
        <w:rPr>
          <w:rFonts w:ascii="Calibri" w:hAnsi="Calibri"/>
          <w:b/>
          <w:sz w:val="28"/>
          <w:szCs w:val="24"/>
        </w:rPr>
      </w:pPr>
      <w:bookmarkStart w:id="0" w:name="Betreff"/>
      <w:bookmarkStart w:id="1" w:name="hier"/>
      <w:bookmarkStart w:id="2" w:name="Bezug"/>
      <w:bookmarkStart w:id="3" w:name="_GoBack"/>
      <w:bookmarkEnd w:id="0"/>
      <w:bookmarkEnd w:id="1"/>
      <w:bookmarkEnd w:id="2"/>
      <w:bookmarkEnd w:id="3"/>
      <w:r>
        <w:rPr>
          <w:noProof/>
        </w:rPr>
        <w:drawing>
          <wp:anchor distT="0" distB="0" distL="114300" distR="114300" simplePos="0" relativeHeight="251657728" behindDoc="1" locked="0" layoutInCell="1" allowOverlap="1" wp14:anchorId="013FC919" wp14:editId="53BD62E4">
            <wp:simplePos x="0" y="0"/>
            <wp:positionH relativeFrom="column">
              <wp:posOffset>-3810</wp:posOffset>
            </wp:positionH>
            <wp:positionV relativeFrom="paragraph">
              <wp:posOffset>-670560</wp:posOffset>
            </wp:positionV>
            <wp:extent cx="1647825" cy="621030"/>
            <wp:effectExtent l="0" t="0" r="0" b="0"/>
            <wp:wrapNone/>
            <wp:docPr id="3" name="officeArt object" descr="Voyager:Kunden:Kunden 2014:Projekt jüdisches Leben 14:pjl-signet 14:14.10.14pjl-Si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Voyager:Kunden:Kunden 2014:Projekt jüdisches Leben 14:pjl-signet 14:14.10.14pjl-Sign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621030"/>
                    </a:xfrm>
                    <a:prstGeom prst="rect">
                      <a:avLst/>
                    </a:prstGeom>
                    <a:noFill/>
                  </pic:spPr>
                </pic:pic>
              </a:graphicData>
            </a:graphic>
            <wp14:sizeRelH relativeFrom="page">
              <wp14:pctWidth>0</wp14:pctWidth>
            </wp14:sizeRelH>
            <wp14:sizeRelV relativeFrom="page">
              <wp14:pctHeight>0</wp14:pctHeight>
            </wp14:sizeRelV>
          </wp:anchor>
        </w:drawing>
      </w:r>
    </w:p>
    <w:p w14:paraId="28251C8B" w14:textId="77777777" w:rsidR="00C27564" w:rsidRDefault="00C27564" w:rsidP="00C27564">
      <w:pPr>
        <w:widowControl w:val="0"/>
        <w:jc w:val="center"/>
        <w:rPr>
          <w:rFonts w:ascii="Calibri" w:hAnsi="Calibri"/>
          <w:b/>
          <w:sz w:val="28"/>
          <w:szCs w:val="24"/>
        </w:rPr>
      </w:pPr>
      <w:r>
        <w:rPr>
          <w:rFonts w:ascii="Calibri" w:hAnsi="Calibri"/>
          <w:b/>
          <w:sz w:val="28"/>
          <w:szCs w:val="24"/>
        </w:rPr>
        <w:t xml:space="preserve">VERFOLGT IM NATIONALSOZIALISMUS </w:t>
      </w:r>
    </w:p>
    <w:p w14:paraId="32C4C1AF" w14:textId="77777777" w:rsidR="00C27564" w:rsidRDefault="00C27564" w:rsidP="00C27564">
      <w:pPr>
        <w:widowControl w:val="0"/>
        <w:jc w:val="center"/>
        <w:rPr>
          <w:rFonts w:ascii="Calibri" w:hAnsi="Calibri"/>
          <w:b/>
          <w:sz w:val="28"/>
          <w:szCs w:val="24"/>
        </w:rPr>
      </w:pPr>
      <w:r>
        <w:rPr>
          <w:rFonts w:ascii="Calibri" w:hAnsi="Calibri"/>
          <w:b/>
          <w:sz w:val="28"/>
          <w:szCs w:val="24"/>
        </w:rPr>
        <w:t>– ZEITZEUGINNEN BERICHTEN –</w:t>
      </w:r>
    </w:p>
    <w:p w14:paraId="41473176" w14:textId="77777777" w:rsidR="00C27564" w:rsidRDefault="00C27564" w:rsidP="00C27564">
      <w:pPr>
        <w:widowControl w:val="0"/>
        <w:jc w:val="center"/>
        <w:rPr>
          <w:rFonts w:ascii="Calibri" w:hAnsi="Calibri"/>
          <w:b/>
          <w:sz w:val="28"/>
          <w:szCs w:val="24"/>
        </w:rPr>
      </w:pPr>
      <w:r>
        <w:rPr>
          <w:rFonts w:ascii="Calibri" w:hAnsi="Calibri"/>
          <w:b/>
          <w:sz w:val="28"/>
          <w:szCs w:val="24"/>
        </w:rPr>
        <w:br/>
        <w:t>Liesel Binzer</w:t>
      </w:r>
    </w:p>
    <w:p w14:paraId="6341625E" w14:textId="77777777" w:rsidR="00C27564" w:rsidRDefault="00C27564" w:rsidP="00C27564">
      <w:pPr>
        <w:widowControl w:val="0"/>
        <w:jc w:val="center"/>
        <w:rPr>
          <w:rFonts w:ascii="Calibri" w:hAnsi="Calibri"/>
          <w:b/>
          <w:i/>
          <w:iCs/>
          <w:sz w:val="28"/>
          <w:szCs w:val="24"/>
        </w:rPr>
      </w:pPr>
      <w:r>
        <w:rPr>
          <w:rFonts w:ascii="Calibri" w:hAnsi="Calibri"/>
          <w:b/>
          <w:i/>
          <w:iCs/>
          <w:sz w:val="28"/>
          <w:szCs w:val="24"/>
        </w:rPr>
        <w:t>„Jeder dachte, so schlimm wird’s wohl nicht kommen…“</w:t>
      </w:r>
    </w:p>
    <w:p w14:paraId="5E679C91" w14:textId="77777777" w:rsidR="00B66DD0" w:rsidRDefault="00B66DD0" w:rsidP="00B66DD0">
      <w:pPr>
        <w:widowControl w:val="0"/>
        <w:jc w:val="center"/>
        <w:rPr>
          <w:rFonts w:ascii="Calibri" w:hAnsi="Calibri"/>
          <w:b/>
          <w:sz w:val="28"/>
          <w:szCs w:val="24"/>
        </w:rPr>
      </w:pPr>
    </w:p>
    <w:p w14:paraId="47EE6082" w14:textId="77777777" w:rsidR="004302DA" w:rsidRDefault="00B66DD0" w:rsidP="00B66DD0">
      <w:pPr>
        <w:widowControl w:val="0"/>
        <w:jc w:val="center"/>
        <w:rPr>
          <w:rFonts w:ascii="Calibri" w:hAnsi="Calibri"/>
          <w:b/>
          <w:sz w:val="28"/>
          <w:szCs w:val="24"/>
        </w:rPr>
      </w:pPr>
      <w:r>
        <w:rPr>
          <w:rFonts w:ascii="Calibri" w:hAnsi="Calibri"/>
          <w:b/>
          <w:sz w:val="28"/>
          <w:szCs w:val="24"/>
        </w:rPr>
        <w:t>Begleitmaterial für den Unterricht</w:t>
      </w:r>
    </w:p>
    <w:p w14:paraId="1EF94268" w14:textId="77777777" w:rsidR="00490F44" w:rsidRDefault="00490F44" w:rsidP="00490F44">
      <w:pPr>
        <w:widowControl w:val="0"/>
        <w:jc w:val="both"/>
        <w:rPr>
          <w:rFonts w:ascii="Calibri" w:hAnsi="Calibri"/>
          <w:bCs/>
          <w:i/>
          <w:iCs/>
          <w:sz w:val="22"/>
        </w:rPr>
      </w:pPr>
    </w:p>
    <w:p w14:paraId="5B7547D4" w14:textId="77777777" w:rsidR="00490F44" w:rsidRPr="00CB4227" w:rsidRDefault="00490F44" w:rsidP="00490F44">
      <w:pPr>
        <w:widowControl w:val="0"/>
        <w:jc w:val="both"/>
        <w:rPr>
          <w:rFonts w:ascii="Calibri" w:hAnsi="Calibri"/>
          <w:bCs/>
          <w:i/>
          <w:iCs/>
          <w:sz w:val="22"/>
        </w:rPr>
      </w:pPr>
      <w:r>
        <w:rPr>
          <w:rFonts w:ascii="Calibri" w:hAnsi="Calibri"/>
          <w:bCs/>
          <w:i/>
          <w:iCs/>
          <w:sz w:val="22"/>
        </w:rPr>
        <w:t xml:space="preserve">Das folgende Material dient als Anregung zur Auseinandersetzung mit dem Film über </w:t>
      </w:r>
      <w:r w:rsidR="008E7369">
        <w:rPr>
          <w:rFonts w:ascii="Calibri" w:hAnsi="Calibri"/>
          <w:bCs/>
          <w:i/>
          <w:iCs/>
          <w:sz w:val="22"/>
        </w:rPr>
        <w:t>Liesel Binzer</w:t>
      </w:r>
      <w:r>
        <w:rPr>
          <w:rFonts w:ascii="Calibri" w:hAnsi="Calibri"/>
          <w:bCs/>
          <w:i/>
          <w:iCs/>
          <w:sz w:val="22"/>
        </w:rPr>
        <w:t>. Die Aufträge stellen einen Fundus an möglichen Fragestellungen dar, müssen aber keinesfalls vollständig durchgearbeitet werden.</w:t>
      </w:r>
    </w:p>
    <w:p w14:paraId="3D5164C3" w14:textId="77777777" w:rsidR="0050444B" w:rsidRDefault="0050444B" w:rsidP="00AB6253">
      <w:pPr>
        <w:widowControl w:val="0"/>
        <w:jc w:val="both"/>
        <w:rPr>
          <w:rFonts w:ascii="Calibri" w:hAnsi="Calibri"/>
          <w:b/>
          <w:sz w:val="28"/>
          <w:szCs w:val="24"/>
        </w:rPr>
      </w:pPr>
    </w:p>
    <w:p w14:paraId="76935106" w14:textId="77777777" w:rsidR="0050444B" w:rsidRDefault="00860733" w:rsidP="00AB6253">
      <w:pPr>
        <w:widowControl w:val="0"/>
        <w:jc w:val="both"/>
        <w:rPr>
          <w:rFonts w:ascii="Calibri" w:hAnsi="Calibri"/>
          <w:b/>
          <w:sz w:val="28"/>
          <w:szCs w:val="24"/>
        </w:rPr>
      </w:pPr>
      <w:bookmarkStart w:id="4" w:name="_Hlk133392888"/>
      <w:r w:rsidRPr="00BB32CB">
        <w:rPr>
          <w:rFonts w:ascii="Calibri" w:hAnsi="Calibri"/>
          <w:b/>
          <w:sz w:val="28"/>
          <w:szCs w:val="24"/>
          <w:u w:val="single"/>
        </w:rPr>
        <w:t>Vor</w:t>
      </w:r>
      <w:r>
        <w:rPr>
          <w:rFonts w:ascii="Calibri" w:hAnsi="Calibri"/>
          <w:b/>
          <w:sz w:val="28"/>
          <w:szCs w:val="24"/>
        </w:rPr>
        <w:t xml:space="preserve"> der Filmsichtung:</w:t>
      </w:r>
    </w:p>
    <w:p w14:paraId="0C983843" w14:textId="77777777" w:rsidR="00860733" w:rsidRDefault="00860733" w:rsidP="00AB6253">
      <w:pPr>
        <w:widowControl w:val="0"/>
        <w:jc w:val="both"/>
        <w:rPr>
          <w:rFonts w:ascii="Calibri" w:hAnsi="Calibri"/>
          <w:b/>
          <w:sz w:val="28"/>
          <w:szCs w:val="24"/>
        </w:rPr>
      </w:pPr>
    </w:p>
    <w:p w14:paraId="46B3172A" w14:textId="77777777" w:rsidR="00860733" w:rsidRPr="00BB32CB" w:rsidRDefault="00860733" w:rsidP="00860733">
      <w:pPr>
        <w:widowControl w:val="0"/>
        <w:jc w:val="both"/>
        <w:rPr>
          <w:rFonts w:ascii="Calibri" w:hAnsi="Calibri"/>
          <w:bCs/>
          <w:sz w:val="22"/>
        </w:rPr>
      </w:pPr>
      <w:r w:rsidRPr="00BB32CB">
        <w:rPr>
          <w:rFonts w:ascii="Calibri" w:hAnsi="Calibri"/>
          <w:bCs/>
          <w:sz w:val="22"/>
        </w:rPr>
        <w:t>1. Überlege, an was du dich noch erinnerst, als du ein Kind warst. Wie alt warst du jeweils?</w:t>
      </w:r>
    </w:p>
    <w:p w14:paraId="5F8C8245" w14:textId="77777777" w:rsidR="003E1F9D" w:rsidRDefault="003E1F9D" w:rsidP="00860733">
      <w:pPr>
        <w:widowControl w:val="0"/>
        <w:jc w:val="both"/>
        <w:rPr>
          <w:rFonts w:ascii="Calibri" w:hAnsi="Calibri"/>
          <w:bCs/>
          <w:sz w:val="22"/>
        </w:rPr>
      </w:pPr>
    </w:p>
    <w:p w14:paraId="2C6E6D01" w14:textId="77777777" w:rsidR="00860733" w:rsidRPr="00BB32CB" w:rsidRDefault="00860733" w:rsidP="00860733">
      <w:pPr>
        <w:widowControl w:val="0"/>
        <w:jc w:val="both"/>
        <w:rPr>
          <w:rFonts w:ascii="Calibri" w:hAnsi="Calibri"/>
          <w:bCs/>
          <w:sz w:val="22"/>
        </w:rPr>
      </w:pPr>
      <w:r w:rsidRPr="00BB32CB">
        <w:rPr>
          <w:rFonts w:ascii="Calibri" w:hAnsi="Calibri"/>
          <w:bCs/>
          <w:sz w:val="22"/>
        </w:rPr>
        <w:t>2. Gibt es Dinge / Ereignisse / Menschen, an die du dich immer wieder erinnerst? Wenn ja, warum?</w:t>
      </w:r>
    </w:p>
    <w:p w14:paraId="23589456" w14:textId="77777777" w:rsidR="003E1F9D" w:rsidRDefault="003E1F9D" w:rsidP="00860733">
      <w:pPr>
        <w:widowControl w:val="0"/>
        <w:jc w:val="both"/>
        <w:rPr>
          <w:rFonts w:ascii="Calibri" w:hAnsi="Calibri"/>
          <w:bCs/>
          <w:sz w:val="22"/>
        </w:rPr>
      </w:pPr>
    </w:p>
    <w:p w14:paraId="183F59F9" w14:textId="77777777" w:rsidR="00860733" w:rsidRPr="00BB32CB" w:rsidRDefault="00860733" w:rsidP="00860733">
      <w:pPr>
        <w:widowControl w:val="0"/>
        <w:jc w:val="both"/>
        <w:rPr>
          <w:rFonts w:ascii="Calibri" w:hAnsi="Calibri"/>
          <w:bCs/>
          <w:sz w:val="22"/>
        </w:rPr>
      </w:pPr>
      <w:r w:rsidRPr="00BB32CB">
        <w:rPr>
          <w:rFonts w:ascii="Calibri" w:hAnsi="Calibri"/>
          <w:bCs/>
          <w:sz w:val="22"/>
        </w:rPr>
        <w:t>3. Überlege, warum Erinnern wichtig ist.</w:t>
      </w:r>
    </w:p>
    <w:bookmarkEnd w:id="4"/>
    <w:p w14:paraId="516B57CF" w14:textId="77777777" w:rsidR="0050444B" w:rsidRDefault="0050444B" w:rsidP="00AB6253">
      <w:pPr>
        <w:widowControl w:val="0"/>
        <w:jc w:val="both"/>
        <w:rPr>
          <w:rFonts w:ascii="Calibri" w:hAnsi="Calibri"/>
          <w:b/>
          <w:sz w:val="28"/>
          <w:szCs w:val="24"/>
        </w:rPr>
      </w:pPr>
    </w:p>
    <w:p w14:paraId="1E147C70" w14:textId="77777777" w:rsidR="00860733" w:rsidRPr="00BB32CB" w:rsidRDefault="00860733" w:rsidP="00860733">
      <w:pPr>
        <w:overflowPunct/>
        <w:autoSpaceDE/>
        <w:autoSpaceDN/>
        <w:adjustRightInd/>
        <w:jc w:val="both"/>
        <w:textAlignment w:val="auto"/>
        <w:rPr>
          <w:rFonts w:ascii="Calibri" w:hAnsi="Calibri"/>
          <w:b/>
          <w:bCs/>
          <w:i/>
          <w:iCs/>
          <w:sz w:val="20"/>
        </w:rPr>
      </w:pPr>
      <w:r w:rsidRPr="00BB32CB">
        <w:rPr>
          <w:rFonts w:ascii="Calibri" w:hAnsi="Calibri"/>
          <w:b/>
          <w:bCs/>
          <w:i/>
          <w:iCs/>
          <w:sz w:val="20"/>
        </w:rPr>
        <w:t>Frau Liesel Binzer überlebte als Kind das KZ Theresienstadt. Folgend findest du eine Kurzinfo zum KZ Theresienstadt von der Webseite des Deutschen Historischen Museum (lemo). Lies dir die Info durch, bevor ihr euch gemeinsam das Interview anseht:</w:t>
      </w:r>
    </w:p>
    <w:p w14:paraId="12F69F2B" w14:textId="77777777" w:rsidR="00860733" w:rsidRPr="00BB32CB" w:rsidRDefault="00860733" w:rsidP="00860733">
      <w:pPr>
        <w:overflowPunct/>
        <w:autoSpaceDE/>
        <w:autoSpaceDN/>
        <w:adjustRightInd/>
        <w:textAlignment w:val="auto"/>
        <w:rPr>
          <w:rFonts w:ascii="Calibri" w:hAnsi="Calibri"/>
          <w:sz w:val="20"/>
        </w:rPr>
      </w:pPr>
    </w:p>
    <w:p w14:paraId="1A44FD3B"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9"/>
          <w:sz w:val="20"/>
          <w:shd w:val="clear" w:color="auto" w:fill="FFFFFF"/>
        </w:rPr>
      </w:pPr>
      <w:r w:rsidRPr="00BB32CB">
        <w:rPr>
          <w:rFonts w:ascii="Calibri" w:hAnsi="Calibri" w:cs="Open Sans"/>
          <w:i/>
          <w:iCs/>
          <w:color w:val="353244"/>
          <w:spacing w:val="9"/>
          <w:sz w:val="20"/>
          <w:shd w:val="clear" w:color="auto" w:fill="FFFFFF"/>
        </w:rPr>
        <w:t>Die alte Festungsanlage Theresienstadt (heute: Terezin/Tschechische Republik) in Nordböhmen diente ab November 1941 als ghettoähnliches Lager für insgesamt rund 141.000 Juden. Mit insgesamt rund 73.500 Menschen wurde bis Juli 1943 fast die gesamte jüdische Bevölkerung des "Protektorats" nach Theresienstadt deportiert. Bei den meisten der annähernd 58.000 österreichischen und deutschen Juden, die ab Juni 1942 nach Theresienstadt deportiert wurden, war mit "Heimeinkaufsverträgen" auf zynische Weise die Illusion erweckt worden, sie wären als Bevorzugte auf dem Weg in ein Privilegiertenghetto. Das geruhsame Altersdomizil mit versprochener Pflege im Krankheitsfall stellte sich allerdings schnell als Lager mit überfüllten Massenunterkünften in alten Kasernen, Unterernährung sowie unzumutbaren hygienischen Zuständen heraus.</w:t>
      </w:r>
    </w:p>
    <w:p w14:paraId="63B37448"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9"/>
          <w:sz w:val="20"/>
          <w:shd w:val="clear" w:color="auto" w:fill="FFFFFF"/>
        </w:rPr>
      </w:pPr>
    </w:p>
    <w:p w14:paraId="7680E2AB"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5"/>
          <w:sz w:val="20"/>
          <w:shd w:val="clear" w:color="auto" w:fill="FFFFFF"/>
        </w:rPr>
      </w:pPr>
      <w:r w:rsidRPr="00BB32CB">
        <w:rPr>
          <w:rFonts w:ascii="Calibri" w:hAnsi="Calibri" w:cs="Open Sans"/>
          <w:i/>
          <w:iCs/>
          <w:color w:val="353244"/>
          <w:spacing w:val="5"/>
          <w:sz w:val="20"/>
          <w:shd w:val="clear" w:color="auto" w:fill="FFFFFF"/>
        </w:rPr>
        <w:t xml:space="preserve">Die Lebensbedingungen in Theresienstadt waren kaum zu ertragen. Kälte, Mangel an Nahrungsmitteln, Enge und minimale Ausstattung der Unterkünfte sowie fehlende Medikamente für grassierende Krankheiten forderten hohe Todeszahlen. Etwa 33.500 Menschen starben in diesem Lager, das unter dem Kommando der </w:t>
      </w:r>
      <w:r w:rsidRPr="00BB32CB">
        <w:rPr>
          <w:rFonts w:ascii="Calibri" w:hAnsi="Calibri" w:cs="Open Sans"/>
          <w:i/>
          <w:iCs/>
          <w:color w:val="000000"/>
          <w:spacing w:val="5"/>
          <w:sz w:val="20"/>
        </w:rPr>
        <w:t>Schutzstaffel</w:t>
      </w:r>
      <w:r w:rsidRPr="00BB32CB">
        <w:rPr>
          <w:rFonts w:ascii="Calibri" w:hAnsi="Calibri" w:cs="Open Sans"/>
          <w:i/>
          <w:iCs/>
          <w:color w:val="353244"/>
          <w:spacing w:val="5"/>
          <w:sz w:val="20"/>
          <w:shd w:val="clear" w:color="auto" w:fill="FFFFFF"/>
        </w:rPr>
        <w:t xml:space="preserve"> (SS) stand und von tschechischer Gendarmerie bewacht wurde. Dennoch galt Theresienstadt als nationalsozialistisches "Vorzeigeghetto".Eine große Zahl von Künstlern und Schriftstellern gab im Ghetto Konzerte, Lesungen und Theateraufführungen. Eine im Ghetto eingerichtete Bibliothek umfaßte über 60.000 Bände. Das </w:t>
      </w:r>
      <w:r w:rsidRPr="00BB32CB">
        <w:rPr>
          <w:rFonts w:ascii="Calibri" w:hAnsi="Calibri" w:cs="Open Sans"/>
          <w:i/>
          <w:iCs/>
          <w:color w:val="000000"/>
          <w:spacing w:val="5"/>
          <w:sz w:val="20"/>
        </w:rPr>
        <w:t>NS-Regime</w:t>
      </w:r>
      <w:r w:rsidRPr="00BB32CB">
        <w:rPr>
          <w:rFonts w:ascii="Calibri" w:hAnsi="Calibri" w:cs="Open Sans"/>
          <w:i/>
          <w:iCs/>
          <w:color w:val="000000"/>
          <w:spacing w:val="5"/>
          <w:sz w:val="20"/>
          <w:shd w:val="clear" w:color="auto" w:fill="FFFFFF"/>
        </w:rPr>
        <w:t xml:space="preserve"> </w:t>
      </w:r>
      <w:r w:rsidRPr="00BB32CB">
        <w:rPr>
          <w:rFonts w:ascii="Calibri" w:hAnsi="Calibri" w:cs="Open Sans"/>
          <w:i/>
          <w:iCs/>
          <w:color w:val="353244"/>
          <w:spacing w:val="5"/>
          <w:sz w:val="20"/>
          <w:shd w:val="clear" w:color="auto" w:fill="FFFFFF"/>
        </w:rPr>
        <w:t>nutzte die kulturellen Aktivitäten in Theresienstadt für Propagandazwecke und gestattete einer Delegation des Internationalen Roten Kreuzes, Theresienstadt zu besuchen. Für den Besuch der Delegation am 23. Juni 1944 wurde durch neu eingerichtete Cafés, zahlreiche Geschäfte und durch eine mit Ghettogeld arbeitende Bank die Illusion einer "normalen Stadt" vermittelt. Um den Eindruck der Überbevölkerung zu vermeiden, wurden im Vorfeld des Besuchs besonders viele Häftlinge deportiert.</w:t>
      </w:r>
    </w:p>
    <w:p w14:paraId="4984A545"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5"/>
          <w:sz w:val="20"/>
          <w:shd w:val="clear" w:color="auto" w:fill="FFFFFF"/>
        </w:rPr>
      </w:pPr>
    </w:p>
    <w:p w14:paraId="00C51852"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5"/>
          <w:sz w:val="20"/>
          <w:shd w:val="clear" w:color="auto" w:fill="FFFFFF"/>
        </w:rPr>
      </w:pPr>
      <w:r w:rsidRPr="00BB32CB">
        <w:rPr>
          <w:rFonts w:ascii="Calibri" w:hAnsi="Calibri" w:cs="Open Sans"/>
          <w:i/>
          <w:iCs/>
          <w:color w:val="353244"/>
          <w:spacing w:val="5"/>
          <w:sz w:val="20"/>
          <w:shd w:val="clear" w:color="auto" w:fill="FFFFFF"/>
        </w:rPr>
        <w:lastRenderedPageBreak/>
        <w:t xml:space="preserve">Seit Januar 1942 stellte Theresienstadt für insgesamt rund 60.400 tschechische und 16.100 deutsche Juden eine Durchgangsstation für Transporte in die Vernichtungslager im Osten dar. Ab Oktober 1942 führten die Deportationen ausschließlich nach </w:t>
      </w:r>
      <w:r w:rsidRPr="00BB32CB">
        <w:rPr>
          <w:rFonts w:ascii="Calibri" w:hAnsi="Calibri" w:cs="Open Sans"/>
          <w:i/>
          <w:iCs/>
          <w:color w:val="000000"/>
          <w:spacing w:val="5"/>
          <w:sz w:val="20"/>
        </w:rPr>
        <w:t>Auschwitz</w:t>
      </w:r>
      <w:r w:rsidRPr="00BB32CB">
        <w:rPr>
          <w:rFonts w:ascii="Calibri" w:hAnsi="Calibri" w:cs="Open Sans"/>
          <w:i/>
          <w:iCs/>
          <w:color w:val="353244"/>
          <w:spacing w:val="5"/>
          <w:sz w:val="20"/>
          <w:shd w:val="clear" w:color="auto" w:fill="FFFFFF"/>
        </w:rPr>
        <w:t>. Dem sogenannten Ältestenrat im Lager fiel die Aufgabe zu, die Listen mit Namen derjenigen zusammenzustellen, die deportiert werden sollten. Der Rat war für die interne Verwaltung in Theresienstadt einberufen worden und mußte die Weisungen der "Zentralstelle für jüdische Auswanderung", einer Dienststelle des Befehlshabers der Sicherheitspolizei und des Sicherheitsdiensts in Prag, ausführen. Den Vorsitz im Ältestenrat hatte zunächst der tschechische Zionist Jakob Edelstein (1903-1944), später der deutsche Soziologe Paul Eppstein (1901-1944) und schließlich deren Rabbiner Benjamin Murmelstein (1905-1989).</w:t>
      </w:r>
    </w:p>
    <w:p w14:paraId="2442A382" w14:textId="77777777" w:rsidR="00860733" w:rsidRPr="00BB32CB" w:rsidRDefault="00860733" w:rsidP="00860733">
      <w:pPr>
        <w:overflowPunct/>
        <w:autoSpaceDE/>
        <w:autoSpaceDN/>
        <w:adjustRightInd/>
        <w:jc w:val="both"/>
        <w:textAlignment w:val="auto"/>
        <w:rPr>
          <w:rFonts w:ascii="Calibri" w:hAnsi="Calibri" w:cs="Open Sans"/>
          <w:i/>
          <w:iCs/>
          <w:color w:val="353244"/>
          <w:spacing w:val="5"/>
          <w:sz w:val="20"/>
          <w:shd w:val="clear" w:color="auto" w:fill="FFFFFF"/>
        </w:rPr>
      </w:pPr>
    </w:p>
    <w:p w14:paraId="2B878207" w14:textId="77777777" w:rsidR="00860733" w:rsidRPr="00BB32CB" w:rsidRDefault="00860733" w:rsidP="00860733">
      <w:pPr>
        <w:overflowPunct/>
        <w:autoSpaceDE/>
        <w:autoSpaceDN/>
        <w:adjustRightInd/>
        <w:spacing w:after="300"/>
        <w:jc w:val="both"/>
        <w:textAlignment w:val="auto"/>
        <w:rPr>
          <w:rFonts w:ascii="Calibri" w:hAnsi="Calibri" w:cs="Open Sans"/>
          <w:i/>
          <w:iCs/>
          <w:color w:val="353244"/>
          <w:spacing w:val="5"/>
          <w:sz w:val="20"/>
        </w:rPr>
      </w:pPr>
      <w:r w:rsidRPr="00BB32CB">
        <w:rPr>
          <w:rFonts w:ascii="Calibri" w:hAnsi="Calibri" w:cs="Open Sans"/>
          <w:i/>
          <w:iCs/>
          <w:color w:val="353244"/>
          <w:spacing w:val="5"/>
          <w:sz w:val="20"/>
        </w:rPr>
        <w:t xml:space="preserve">Kurz vor Ende </w:t>
      </w:r>
      <w:r w:rsidRPr="00BB32CB">
        <w:rPr>
          <w:rFonts w:ascii="Calibri" w:hAnsi="Calibri" w:cs="Open Sans"/>
          <w:i/>
          <w:iCs/>
          <w:color w:val="000000"/>
          <w:spacing w:val="5"/>
          <w:sz w:val="20"/>
        </w:rPr>
        <w:t xml:space="preserve">des </w:t>
      </w:r>
      <w:hyperlink r:id="rId8" w:history="1">
        <w:r w:rsidRPr="00BB32CB">
          <w:rPr>
            <w:rFonts w:ascii="Calibri" w:hAnsi="Calibri" w:cs="Open Sans"/>
            <w:i/>
            <w:iCs/>
            <w:color w:val="000000"/>
            <w:spacing w:val="5"/>
            <w:sz w:val="20"/>
          </w:rPr>
          <w:t>Zweiten Weltkriegs</w:t>
        </w:r>
      </w:hyperlink>
      <w:r w:rsidRPr="00BB32CB">
        <w:rPr>
          <w:rFonts w:ascii="Calibri" w:hAnsi="Calibri" w:cs="Open Sans"/>
          <w:i/>
          <w:iCs/>
          <w:color w:val="353244"/>
          <w:spacing w:val="5"/>
          <w:sz w:val="20"/>
        </w:rPr>
        <w:t xml:space="preserve"> gelang es dem Internationalen Roten Kreuz nach langen Verhandlungen mit der SS, Juden aus Theresienstadt in neutrale Länder zu bringen. 1.200 Juden konnten am 5. Februar 1945 in die Schweiz ausreisen. Am 15. April wurden die bis dahin überlebenden dänischen Juden nach Schweden entlassen. Für knapp zwei Wochen übergab die SS die Verantwortung für Theresienstadt dem Roten Kreuz, am 9. Mai 1945 übernahm es die Rote Armee. Die hohe Sterblichkeit in Theresienstadt hielt aber auch nach der Befreiung des Lagers an. Viele Menschen waren zu schwach und gesundheitlich nicht in der Lage, den Ort zu verlassen. Die letzten mussten bis zum 17. August 1945 in Theresienstadt bleiben.</w:t>
      </w:r>
    </w:p>
    <w:p w14:paraId="089416AF" w14:textId="77777777" w:rsidR="00860733" w:rsidRPr="00BB32CB" w:rsidRDefault="00860733" w:rsidP="00860733">
      <w:pPr>
        <w:overflowPunct/>
        <w:autoSpaceDE/>
        <w:autoSpaceDN/>
        <w:adjustRightInd/>
        <w:jc w:val="both"/>
        <w:textAlignment w:val="auto"/>
        <w:rPr>
          <w:rFonts w:ascii="Calibri" w:hAnsi="Calibri" w:cs="Open Sans"/>
          <w:i/>
          <w:iCs/>
          <w:color w:val="222222"/>
          <w:sz w:val="20"/>
        </w:rPr>
      </w:pPr>
      <w:r w:rsidRPr="00BB32CB">
        <w:rPr>
          <w:rFonts w:ascii="Calibri" w:hAnsi="Calibri" w:cs="Open Sans"/>
          <w:i/>
          <w:iCs/>
          <w:color w:val="222222"/>
          <w:sz w:val="20"/>
        </w:rPr>
        <w:t>Linde Apel; © Deutsches Historisches Museum, Berlin; 6. September 2014</w:t>
      </w:r>
    </w:p>
    <w:p w14:paraId="3436E206" w14:textId="77777777" w:rsidR="00860733" w:rsidRPr="00860733" w:rsidRDefault="00860733" w:rsidP="00860733">
      <w:pPr>
        <w:overflowPunct/>
        <w:autoSpaceDE/>
        <w:autoSpaceDN/>
        <w:adjustRightInd/>
        <w:jc w:val="both"/>
        <w:textAlignment w:val="auto"/>
        <w:rPr>
          <w:rFonts w:ascii="Calibri" w:hAnsi="Calibri" w:cs="Open Sans"/>
          <w:i/>
          <w:iCs/>
          <w:color w:val="222222"/>
          <w:sz w:val="16"/>
          <w:szCs w:val="16"/>
        </w:rPr>
      </w:pPr>
      <w:r w:rsidRPr="00860733">
        <w:rPr>
          <w:rFonts w:ascii="Calibri" w:hAnsi="Calibri" w:cs="Open Sans"/>
          <w:i/>
          <w:iCs/>
          <w:color w:val="222222"/>
          <w:sz w:val="16"/>
          <w:szCs w:val="16"/>
        </w:rPr>
        <w:t xml:space="preserve">[Quelle: </w:t>
      </w:r>
      <w:hyperlink r:id="rId9" w:history="1">
        <w:r w:rsidRPr="00860733">
          <w:rPr>
            <w:rStyle w:val="Hyperlink"/>
            <w:rFonts w:ascii="Calibri" w:hAnsi="Calibri" w:cs="Open Sans"/>
            <w:i/>
            <w:iCs/>
            <w:sz w:val="16"/>
            <w:szCs w:val="16"/>
          </w:rPr>
          <w:t>https://www.dhm.de/lemo/kapitel/der-zweite-weltkrieg/voelkermord/ghetto-theresienstadt.html</w:t>
        </w:r>
      </w:hyperlink>
      <w:r w:rsidRPr="00860733">
        <w:rPr>
          <w:rFonts w:ascii="Calibri" w:hAnsi="Calibri" w:cs="Open Sans"/>
          <w:i/>
          <w:iCs/>
          <w:color w:val="222222"/>
          <w:sz w:val="16"/>
          <w:szCs w:val="16"/>
        </w:rPr>
        <w:t>. Link zuletzt abgerufen am 26.04.2023.]</w:t>
      </w:r>
    </w:p>
    <w:p w14:paraId="3889C2FB" w14:textId="77777777" w:rsidR="0050444B" w:rsidRDefault="0050444B" w:rsidP="00AB6253">
      <w:pPr>
        <w:widowControl w:val="0"/>
        <w:jc w:val="both"/>
        <w:rPr>
          <w:rFonts w:ascii="Calibri" w:hAnsi="Calibri"/>
          <w:b/>
          <w:sz w:val="28"/>
          <w:szCs w:val="24"/>
        </w:rPr>
      </w:pPr>
    </w:p>
    <w:p w14:paraId="1809DB42" w14:textId="77777777" w:rsidR="00860733" w:rsidRDefault="00860733" w:rsidP="00490F44">
      <w:pPr>
        <w:widowControl w:val="0"/>
        <w:spacing w:after="180"/>
        <w:jc w:val="both"/>
        <w:rPr>
          <w:rFonts w:ascii="Calibri" w:hAnsi="Calibri"/>
          <w:b/>
          <w:sz w:val="28"/>
          <w:szCs w:val="24"/>
        </w:rPr>
      </w:pPr>
      <w:r w:rsidRPr="00BB32CB">
        <w:rPr>
          <w:rFonts w:ascii="Calibri" w:hAnsi="Calibri"/>
          <w:b/>
          <w:sz w:val="28"/>
          <w:szCs w:val="24"/>
          <w:u w:val="single"/>
        </w:rPr>
        <w:t>Während</w:t>
      </w:r>
      <w:r>
        <w:rPr>
          <w:rFonts w:ascii="Calibri" w:hAnsi="Calibri"/>
          <w:b/>
          <w:sz w:val="28"/>
          <w:szCs w:val="24"/>
        </w:rPr>
        <w:t xml:space="preserve"> der Filmsichtung:</w:t>
      </w:r>
    </w:p>
    <w:p w14:paraId="4D2D3A75"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1. Notiere, warum Frau Binzer das „Erinnern“ wichtig ist.</w:t>
      </w:r>
    </w:p>
    <w:p w14:paraId="5B287F48"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2. Notiere besondere Erinnerungsstücke Frau Binzers an die Zeit in Theresienstadt.</w:t>
      </w:r>
    </w:p>
    <w:p w14:paraId="3BA7D2C2"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3. Notiere Personen, an die sich Frau Binzer besonders erinnert.</w:t>
      </w:r>
    </w:p>
    <w:p w14:paraId="304D4201"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4. Notiere, wie Frau Binzer mit ihrem Schicksal umgegangen ist und wann sie anfing, darüber zu sprechen.</w:t>
      </w:r>
    </w:p>
    <w:p w14:paraId="1EE9FEED"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5. Notiere die einzelnen Stufen der Ausgrenzung und Verfolgung unter denen die Familie Michel leiden musste. (Was passierte wann?)</w:t>
      </w:r>
    </w:p>
    <w:p w14:paraId="11E5866B" w14:textId="77777777" w:rsidR="0050444B" w:rsidRPr="003E1F9D" w:rsidRDefault="00860733" w:rsidP="003E1F9D">
      <w:pPr>
        <w:widowControl w:val="0"/>
        <w:spacing w:after="120"/>
        <w:jc w:val="both"/>
        <w:rPr>
          <w:rFonts w:ascii="Calibri" w:hAnsi="Calibri"/>
          <w:b/>
          <w:sz w:val="24"/>
          <w:szCs w:val="22"/>
        </w:rPr>
      </w:pPr>
      <w:r w:rsidRPr="00BB32CB">
        <w:rPr>
          <w:rFonts w:ascii="Calibri" w:hAnsi="Calibri"/>
          <w:bCs/>
          <w:sz w:val="22"/>
        </w:rPr>
        <w:t>6. Notiere, was Frau Binzer zum Leben in der Nachkriegszeit und der Rückkehr der Familie nach Deutschland erzählt.</w:t>
      </w:r>
    </w:p>
    <w:p w14:paraId="2D6272D1" w14:textId="77777777" w:rsidR="00860733" w:rsidRDefault="00860733" w:rsidP="003E1F9D">
      <w:pPr>
        <w:widowControl w:val="0"/>
        <w:spacing w:after="120"/>
        <w:jc w:val="both"/>
        <w:rPr>
          <w:rFonts w:ascii="Calibri" w:hAnsi="Calibri"/>
          <w:b/>
          <w:sz w:val="28"/>
          <w:szCs w:val="24"/>
        </w:rPr>
      </w:pPr>
      <w:r w:rsidRPr="00BB32CB">
        <w:rPr>
          <w:rFonts w:ascii="Calibri" w:hAnsi="Calibri"/>
          <w:b/>
          <w:sz w:val="28"/>
          <w:szCs w:val="24"/>
          <w:u w:val="single"/>
        </w:rPr>
        <w:t>Nach</w:t>
      </w:r>
      <w:r>
        <w:rPr>
          <w:rFonts w:ascii="Calibri" w:hAnsi="Calibri"/>
          <w:b/>
          <w:sz w:val="28"/>
          <w:szCs w:val="24"/>
        </w:rPr>
        <w:t xml:space="preserve"> der Filmsichtung:</w:t>
      </w:r>
    </w:p>
    <w:p w14:paraId="34DB7B64"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1. Ordne die Stufen der Ausgrenzung in den historischen Zusammenhang von Ausgrenzung und Verfolgung der deutschen und europäischen Juden ein.</w:t>
      </w:r>
    </w:p>
    <w:p w14:paraId="63197F65"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2. Stelle das Alltagsleben der deutschen Bevölkerung in den Nachkriegsjahren dar</w:t>
      </w:r>
      <w:r w:rsidR="00BB32CB" w:rsidRPr="00BB32CB">
        <w:rPr>
          <w:rFonts w:ascii="Calibri" w:hAnsi="Calibri"/>
          <w:bCs/>
          <w:sz w:val="22"/>
        </w:rPr>
        <w:t>.</w:t>
      </w:r>
      <w:r w:rsidRPr="00BB32CB">
        <w:rPr>
          <w:rFonts w:ascii="Calibri" w:hAnsi="Calibri"/>
          <w:bCs/>
          <w:sz w:val="22"/>
        </w:rPr>
        <w:t xml:space="preserve"> Wie ist man in den Besatzungszonen mit den Nationalsozialisten umgegangen? (Stichwort: Entnazifizierung)</w:t>
      </w:r>
    </w:p>
    <w:p w14:paraId="64393E40"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 xml:space="preserve">3. Informiere dich über den Propaganda-Film der Nazis über das KZ Theresienstadt und stelle das dort dargestellt Leben den Schilderungen Frau Binzers gegenüber. </w:t>
      </w:r>
      <w:r w:rsidR="00BB32CB" w:rsidRPr="00BB32CB">
        <w:rPr>
          <w:rFonts w:ascii="Calibri" w:hAnsi="Calibri"/>
          <w:bCs/>
          <w:sz w:val="22"/>
        </w:rPr>
        <w:t xml:space="preserve">Einen </w:t>
      </w:r>
      <w:r w:rsidRPr="00BB32CB">
        <w:rPr>
          <w:rFonts w:ascii="Calibri" w:hAnsi="Calibri"/>
          <w:bCs/>
          <w:sz w:val="22"/>
        </w:rPr>
        <w:t>kleinen Ausschnitt des Films</w:t>
      </w:r>
      <w:r w:rsidR="00BB32CB" w:rsidRPr="00BB32CB">
        <w:rPr>
          <w:rFonts w:ascii="Calibri" w:hAnsi="Calibri"/>
          <w:bCs/>
          <w:sz w:val="22"/>
        </w:rPr>
        <w:t xml:space="preserve"> findest du hier</w:t>
      </w:r>
      <w:r w:rsidRPr="00BB32CB">
        <w:rPr>
          <w:rFonts w:ascii="Calibri" w:hAnsi="Calibri"/>
          <w:bCs/>
          <w:sz w:val="22"/>
        </w:rPr>
        <w:t xml:space="preserve">: </w:t>
      </w:r>
      <w:hyperlink r:id="rId10" w:history="1">
        <w:r w:rsidRPr="00BB32CB">
          <w:rPr>
            <w:rStyle w:val="Hyperlink"/>
            <w:rFonts w:ascii="Calibri" w:hAnsi="Calibri"/>
            <w:bCs/>
            <w:sz w:val="22"/>
          </w:rPr>
          <w:t>https://www.spiegel.de/video/ss-propagandafilm-ueber-theresienstadt-kz-als-ferien-idyll-video-1545441.html</w:t>
        </w:r>
      </w:hyperlink>
      <w:r w:rsidRPr="00BB32CB">
        <w:rPr>
          <w:rFonts w:ascii="Calibri" w:hAnsi="Calibri"/>
          <w:bCs/>
          <w:sz w:val="22"/>
        </w:rPr>
        <w:t xml:space="preserve"> </w:t>
      </w:r>
    </w:p>
    <w:p w14:paraId="0316010F" w14:textId="77777777" w:rsidR="00860733" w:rsidRPr="00BB32CB" w:rsidRDefault="00860733" w:rsidP="003E1F9D">
      <w:pPr>
        <w:widowControl w:val="0"/>
        <w:spacing w:after="120"/>
        <w:jc w:val="both"/>
        <w:rPr>
          <w:rFonts w:ascii="Calibri" w:hAnsi="Calibri"/>
          <w:bCs/>
          <w:sz w:val="22"/>
        </w:rPr>
      </w:pPr>
      <w:r w:rsidRPr="00BB32CB">
        <w:rPr>
          <w:rFonts w:ascii="Calibri" w:hAnsi="Calibri"/>
          <w:bCs/>
          <w:sz w:val="22"/>
        </w:rPr>
        <w:t>4. Recherchiere, welche Unternehmen konkret von Zwangsarbeit im KZ Theresienstadt profitierten?</w:t>
      </w:r>
    </w:p>
    <w:p w14:paraId="7E334DD3" w14:textId="77777777" w:rsidR="00860733" w:rsidRPr="00BB32CB" w:rsidRDefault="00BB32CB" w:rsidP="003E1F9D">
      <w:pPr>
        <w:widowControl w:val="0"/>
        <w:spacing w:after="120"/>
        <w:jc w:val="both"/>
        <w:rPr>
          <w:rFonts w:ascii="Calibri" w:hAnsi="Calibri"/>
          <w:bCs/>
          <w:sz w:val="22"/>
        </w:rPr>
      </w:pPr>
      <w:r w:rsidRPr="00BB32CB">
        <w:rPr>
          <w:rFonts w:ascii="Calibri" w:hAnsi="Calibri"/>
          <w:bCs/>
          <w:sz w:val="22"/>
        </w:rPr>
        <w:t>5</w:t>
      </w:r>
      <w:r w:rsidR="00860733" w:rsidRPr="00BB32CB">
        <w:rPr>
          <w:rFonts w:ascii="Calibri" w:hAnsi="Calibri"/>
          <w:bCs/>
          <w:sz w:val="22"/>
        </w:rPr>
        <w:t>. Überlege, ob nach dem Interview mit Frau Binzer „sich erinnern“ oder das „Erinnern“ für dich an Bedeutung gewonnen hat.</w:t>
      </w:r>
    </w:p>
    <w:p w14:paraId="113D8C65" w14:textId="77777777" w:rsidR="00490F44" w:rsidRPr="00490F44" w:rsidRDefault="00BB32CB" w:rsidP="003E1F9D">
      <w:pPr>
        <w:widowControl w:val="0"/>
        <w:spacing w:after="120"/>
        <w:rPr>
          <w:rFonts w:ascii="Calibri" w:hAnsi="Calibri"/>
          <w:bCs/>
          <w:sz w:val="22"/>
        </w:rPr>
      </w:pPr>
      <w:r w:rsidRPr="00BB32CB">
        <w:rPr>
          <w:rFonts w:ascii="Calibri" w:hAnsi="Calibri"/>
          <w:bCs/>
          <w:sz w:val="22"/>
        </w:rPr>
        <w:t>6</w:t>
      </w:r>
      <w:r w:rsidR="00860733" w:rsidRPr="00BB32CB">
        <w:rPr>
          <w:rFonts w:ascii="Calibri" w:hAnsi="Calibri"/>
          <w:bCs/>
          <w:sz w:val="22"/>
        </w:rPr>
        <w:t>. Gibt es etwas, was du Frau Binzer gerne noch fragen würdest?</w:t>
      </w:r>
      <w:r w:rsidR="003E1F9D">
        <w:rPr>
          <w:rFonts w:ascii="Calibri" w:hAnsi="Calibri"/>
          <w:bCs/>
          <w:sz w:val="22"/>
        </w:rPr>
        <w:t xml:space="preserve"> </w:t>
      </w:r>
      <w:r w:rsidR="003E1F9D">
        <w:rPr>
          <w:rFonts w:ascii="Calibri" w:hAnsi="Calibri"/>
          <w:bCs/>
          <w:sz w:val="22"/>
        </w:rPr>
        <w:br/>
      </w:r>
      <w:r w:rsidR="00490F44" w:rsidRPr="00CB4227">
        <w:rPr>
          <w:rFonts w:ascii="Calibri" w:hAnsi="Calibri"/>
          <w:bCs/>
          <w:i/>
          <w:iCs/>
          <w:sz w:val="22"/>
        </w:rPr>
        <w:t>(Verlinkungen Stand November 2023)</w:t>
      </w:r>
    </w:p>
    <w:sectPr w:rsidR="00490F44" w:rsidRPr="00490F44" w:rsidSect="00F94D43">
      <w:headerReference w:type="default" r:id="rId11"/>
      <w:footerReference w:type="default" r:id="rId12"/>
      <w:headerReference w:type="first" r:id="rId13"/>
      <w:footerReference w:type="first" r:id="rId14"/>
      <w:endnotePr>
        <w:numFmt w:val="decimal"/>
      </w:endnotePr>
      <w:pgSz w:w="11907" w:h="16840" w:code="9"/>
      <w:pgMar w:top="1134" w:right="1418" w:bottom="680" w:left="1701" w:header="720" w:footer="567"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39A6" w14:textId="77777777" w:rsidR="00F94D43" w:rsidRDefault="00F94D43">
      <w:r>
        <w:separator/>
      </w:r>
    </w:p>
  </w:endnote>
  <w:endnote w:type="continuationSeparator" w:id="0">
    <w:p w14:paraId="2A59A1B5" w14:textId="77777777" w:rsidR="00F94D43" w:rsidRDefault="00F9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AvantGarde Bk BT">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CAC8" w14:textId="77777777" w:rsidR="00BB32CB" w:rsidRDefault="00BB32CB" w:rsidP="00BB32CB">
    <w:pPr>
      <w:widowControl w:val="0"/>
      <w:spacing w:line="180" w:lineRule="exact"/>
      <w:jc w:val="both"/>
      <w:rPr>
        <w:rFonts w:ascii="Microsoft YaHei UI" w:eastAsia="Microsoft YaHei UI" w:hAnsi="Microsoft YaHei UI" w:cs="Arial"/>
        <w:sz w:val="14"/>
        <w:szCs w:val="14"/>
      </w:rPr>
    </w:pPr>
  </w:p>
  <w:p w14:paraId="33292955" w14:textId="77777777" w:rsidR="00BB32CB" w:rsidRPr="00BB32CB" w:rsidRDefault="00BB32CB" w:rsidP="00BB32CB">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1942" w14:textId="77777777" w:rsidR="00860733" w:rsidRDefault="00860733" w:rsidP="00B66DD0">
    <w:pPr>
      <w:widowControl w:val="0"/>
      <w:spacing w:line="180" w:lineRule="exact"/>
      <w:jc w:val="both"/>
      <w:rPr>
        <w:rFonts w:ascii="Microsoft YaHei UI" w:eastAsia="Microsoft YaHei UI" w:hAnsi="Microsoft YaHei UI" w:cs="Arial"/>
        <w:sz w:val="14"/>
        <w:szCs w:val="14"/>
      </w:rPr>
    </w:pPr>
  </w:p>
  <w:p w14:paraId="7D0AF547" w14:textId="77777777" w:rsidR="0050444B" w:rsidRPr="0050444B" w:rsidRDefault="00B66DD0" w:rsidP="00B66DD0">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0C22D" w14:textId="77777777" w:rsidR="00F94D43" w:rsidRDefault="00F94D43">
      <w:r>
        <w:separator/>
      </w:r>
    </w:p>
  </w:footnote>
  <w:footnote w:type="continuationSeparator" w:id="0">
    <w:p w14:paraId="16DEBBE8" w14:textId="77777777" w:rsidR="00F94D43" w:rsidRDefault="00F9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AFCB" w14:textId="1BB77E5C" w:rsidR="00A0710B" w:rsidRDefault="00A0710B">
    <w:pPr>
      <w:pStyle w:val="Kopfzeile"/>
      <w:rPr>
        <w:rStyle w:val="Seitenzahl"/>
      </w:rPr>
    </w:pPr>
    <w:r>
      <w:rPr>
        <w:sz w:val="24"/>
      </w:rPr>
      <w:tab/>
      <w:t xml:space="preserve">- </w:t>
    </w:r>
    <w:r>
      <w:rPr>
        <w:rStyle w:val="Seitenzahl"/>
      </w:rPr>
      <w:fldChar w:fldCharType="begin"/>
    </w:r>
    <w:r>
      <w:rPr>
        <w:rStyle w:val="Seitenzahl"/>
      </w:rPr>
      <w:instrText xml:space="preserve">PAGE </w:instrText>
    </w:r>
    <w:r>
      <w:rPr>
        <w:rStyle w:val="Seitenzahl"/>
      </w:rPr>
      <w:fldChar w:fldCharType="separate"/>
    </w:r>
    <w:r w:rsidR="00906EE8">
      <w:rPr>
        <w:rStyle w:val="Seitenzahl"/>
        <w:noProof/>
      </w:rPr>
      <w:t>2</w:t>
    </w:r>
    <w:r>
      <w:rPr>
        <w:rStyle w:val="Seitenzahl"/>
      </w:rPr>
      <w:fldChar w:fldCharType="end"/>
    </w:r>
    <w:r>
      <w:rPr>
        <w:rStyle w:val="Seitenzahl"/>
      </w:rPr>
      <w:t xml:space="preserve"> -</w:t>
    </w:r>
  </w:p>
  <w:p w14:paraId="5F66E253" w14:textId="77777777" w:rsidR="00A0710B" w:rsidRDefault="00A0710B">
    <w:pPr>
      <w:pStyle w:val="Kopfzeile"/>
      <w:rPr>
        <w:rStyle w:val="Seitenzahl"/>
      </w:rPr>
    </w:pPr>
  </w:p>
  <w:p w14:paraId="0905736E" w14:textId="77777777" w:rsidR="00A0710B" w:rsidRDefault="00A071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E5E1" w14:textId="77777777" w:rsidR="00A0710B" w:rsidRDefault="00A0710B" w:rsidP="00F2016E">
    <w:pPr>
      <w:framePr w:hSpace="142" w:wrap="auto" w:vAnchor="page" w:hAnchor="page" w:x="1" w:y="5671"/>
      <w:pBdr>
        <w:top w:val="single" w:sz="6" w:space="1" w:color="auto"/>
      </w:pBdr>
    </w:pPr>
    <w:r>
      <w:t>        </w:t>
    </w:r>
  </w:p>
  <w:p w14:paraId="5440CBDE" w14:textId="77777777" w:rsidR="00A0710B" w:rsidRDefault="00A0710B" w:rsidP="00F2016E">
    <w:pPr>
      <w:framePr w:hSpace="142" w:wrap="auto" w:vAnchor="page" w:hAnchor="page" w:x="1" w:y="11341"/>
    </w:pPr>
    <w:r>
      <w:t>       </w:t>
    </w:r>
  </w:p>
  <w:p w14:paraId="54D9E966" w14:textId="2CA5D35E" w:rsidR="00320543" w:rsidRDefault="00906EE8" w:rsidP="00320543">
    <w:pPr>
      <w:widowControl w:val="0"/>
      <w:jc w:val="both"/>
      <w:rPr>
        <w:rFonts w:ascii="AvantGarde Bk BT" w:hAnsi="AvantGarde Bk BT"/>
        <w:snapToGrid w:val="0"/>
        <w:sz w:val="24"/>
      </w:rPr>
    </w:pPr>
    <w:r>
      <w:rPr>
        <w:noProof/>
      </w:rPr>
      <mc:AlternateContent>
        <mc:Choice Requires="wps">
          <w:drawing>
            <wp:anchor distT="0" distB="0" distL="114300" distR="114300" simplePos="0" relativeHeight="251658752" behindDoc="0" locked="0" layoutInCell="1" allowOverlap="1" wp14:anchorId="377F7EB2" wp14:editId="36C48818">
              <wp:simplePos x="0" y="0"/>
              <wp:positionH relativeFrom="column">
                <wp:posOffset>-80645</wp:posOffset>
              </wp:positionH>
              <wp:positionV relativeFrom="paragraph">
                <wp:posOffset>49530</wp:posOffset>
              </wp:positionV>
              <wp:extent cx="459232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6471"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F7EB2" id="_x0000_t202" coordsize="21600,21600" o:spt="202" path="m,l,21600r21600,l21600,xe">
              <v:stroke joinstyle="miter"/>
              <v:path gradientshapeok="t" o:connecttype="rect"/>
            </v:shapetype>
            <v:shape id="Text Box 5" o:spid="_x0000_s1026" type="#_x0000_t202" style="position:absolute;left:0;text-align:left;margin-left:-6.35pt;margin-top:3.9pt;width:361.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u7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" filled="f" stroked="f">
              <v:textbox>
                <w:txbxContent>
                  <w:p w14:paraId="764B6471"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v:textbox>
            </v:shape>
          </w:pict>
        </mc:Fallback>
      </mc:AlternateContent>
    </w:r>
    <w:r>
      <w:rPr>
        <w:noProof/>
      </w:rPr>
      <w:drawing>
        <wp:anchor distT="0" distB="0" distL="114300" distR="114300" simplePos="0" relativeHeight="251657728" behindDoc="0" locked="0" layoutInCell="1" allowOverlap="1" wp14:anchorId="312C53D9" wp14:editId="61985C14">
          <wp:simplePos x="0" y="0"/>
          <wp:positionH relativeFrom="page">
            <wp:posOffset>1075055</wp:posOffset>
          </wp:positionH>
          <wp:positionV relativeFrom="page">
            <wp:posOffset>386715</wp:posOffset>
          </wp:positionV>
          <wp:extent cx="3384550" cy="325755"/>
          <wp:effectExtent l="0" t="0" r="0" b="0"/>
          <wp:wrapNone/>
          <wp:docPr id="34" name="Bild 4" descr="0004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004_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325755"/>
                  </a:xfrm>
                  <a:prstGeom prst="rect">
                    <a:avLst/>
                  </a:prstGeom>
                  <a:noFill/>
                </pic:spPr>
              </pic:pic>
            </a:graphicData>
          </a:graphic>
          <wp14:sizeRelH relativeFrom="page">
            <wp14:pctWidth>0</wp14:pctWidth>
          </wp14:sizeRelH>
          <wp14:sizeRelV relativeFrom="page">
            <wp14:pctHeight>0</wp14:pctHeight>
          </wp14:sizeRelV>
        </wp:anchor>
      </w:drawing>
    </w:r>
  </w:p>
  <w:p w14:paraId="46DBE185" w14:textId="329ADB06" w:rsidR="00A0710B" w:rsidRDefault="00906EE8" w:rsidP="00F2016E">
    <w:pPr>
      <w:pStyle w:val="Kopfzeile"/>
    </w:pPr>
    <w:r>
      <w:rPr>
        <w:noProof/>
      </w:rPr>
      <w:drawing>
        <wp:anchor distT="0" distB="0" distL="114300" distR="114300" simplePos="0" relativeHeight="251656704" behindDoc="1" locked="0" layoutInCell="1" allowOverlap="1" wp14:anchorId="0C9975DD" wp14:editId="0B22015C">
          <wp:simplePos x="0" y="0"/>
          <wp:positionH relativeFrom="column">
            <wp:posOffset>5062855</wp:posOffset>
          </wp:positionH>
          <wp:positionV relativeFrom="paragraph">
            <wp:posOffset>-187325</wp:posOffset>
          </wp:positionV>
          <wp:extent cx="819150" cy="1062355"/>
          <wp:effectExtent l="0" t="0" r="0" b="0"/>
          <wp:wrapNone/>
          <wp:docPr id="33" name="Bild 33" descr="http://portal-auth.intern.hessen.de/irj/servlet/prt/portal/prtroot/slimp.CMReader/zentral_15/zentral_Intranet/med/26f/26f5a819-ca75-01e7-6cda-4d28a59560bb,11111111-1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ortal-auth.intern.hessen.de/irj/servlet/prt/portal/prtroot/slimp.CMReader/zentral_15/zentral_Intranet/med/26f/26f5a819-ca75-01e7-6cda-4d28a59560bb,11111111-1111-1111-1111-1111111111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1062355"/>
                  </a:xfrm>
                  <a:prstGeom prst="rect">
                    <a:avLst/>
                  </a:prstGeom>
                  <a:noFill/>
                </pic:spPr>
              </pic:pic>
            </a:graphicData>
          </a:graphic>
          <wp14:sizeRelH relativeFrom="page">
            <wp14:pctWidth>0</wp14:pctWidth>
          </wp14:sizeRelH>
          <wp14:sizeRelV relativeFrom="page">
            <wp14:pctHeight>0</wp14:pctHeight>
          </wp14:sizeRelV>
        </wp:anchor>
      </w:drawing>
    </w:r>
  </w:p>
  <w:p w14:paraId="7C6781A1" w14:textId="77777777" w:rsidR="00A0710B" w:rsidRDefault="00A0710B" w:rsidP="00F2016E">
    <w:pPr>
      <w:pStyle w:val="Kopfzeile"/>
    </w:pPr>
  </w:p>
  <w:p w14:paraId="29E50748" w14:textId="77777777" w:rsidR="00A0710B" w:rsidRDefault="00A0710B" w:rsidP="00F2016E">
    <w:pPr>
      <w:pStyle w:val="Kopfzeile"/>
    </w:pPr>
  </w:p>
  <w:p w14:paraId="5255307E" w14:textId="77777777" w:rsidR="00A0710B" w:rsidRPr="007C5FBE" w:rsidRDefault="00A0710B" w:rsidP="00F2016E">
    <w:pPr>
      <w:pStyle w:val="Kopfzeile"/>
      <w:jc w:val="center"/>
      <w:rPr>
        <w:sz w:val="24"/>
        <w:szCs w:val="24"/>
      </w:rPr>
    </w:pPr>
  </w:p>
  <w:p w14:paraId="29323BB9" w14:textId="77777777" w:rsidR="00A0710B" w:rsidRDefault="00A0710B" w:rsidP="00F2016E">
    <w:pPr>
      <w:pStyle w:val="Kopfzeile"/>
    </w:pPr>
  </w:p>
  <w:p w14:paraId="0729FBE8" w14:textId="77777777" w:rsidR="00A0710B" w:rsidRPr="00064B4D" w:rsidRDefault="00A0710B" w:rsidP="00064B4D">
    <w:pPr>
      <w:pStyle w:val="Kopfzeil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7E515A"/>
    <w:lvl w:ilvl="0">
      <w:numFmt w:val="decimal"/>
      <w:lvlText w:val="*"/>
      <w:lvlJc w:val="left"/>
    </w:lvl>
  </w:abstractNum>
  <w:abstractNum w:abstractNumId="1" w15:restartNumberingAfterBreak="0">
    <w:nsid w:val="0B6F48D7"/>
    <w:multiLevelType w:val="hybridMultilevel"/>
    <w:tmpl w:val="BEE62356"/>
    <w:lvl w:ilvl="0" w:tplc="8F5E7504">
      <w:start w:val="1"/>
      <w:numFmt w:val="decimalZero"/>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 w15:restartNumberingAfterBreak="0">
    <w:nsid w:val="34560DC5"/>
    <w:multiLevelType w:val="hybridMultilevel"/>
    <w:tmpl w:val="071AD8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628FD"/>
    <w:multiLevelType w:val="hybridMultilevel"/>
    <w:tmpl w:val="43C43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4F4FD6"/>
    <w:multiLevelType w:val="hybridMultilevel"/>
    <w:tmpl w:val="EB70C3D6"/>
    <w:lvl w:ilvl="0" w:tplc="59BCEDA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8979FF"/>
    <w:multiLevelType w:val="hybridMultilevel"/>
    <w:tmpl w:val="DE3893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9E959A2"/>
    <w:multiLevelType w:val="hybridMultilevel"/>
    <w:tmpl w:val="91CEF2F2"/>
    <w:lvl w:ilvl="0" w:tplc="49D875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305449F"/>
    <w:multiLevelType w:val="hybridMultilevel"/>
    <w:tmpl w:val="7F12769E"/>
    <w:lvl w:ilvl="0" w:tplc="AA88C43A">
      <w:start w:val="1"/>
      <w:numFmt w:val="decimalZero"/>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lvlOverride w:ilvl="0">
      <w:lvl w:ilvl="0">
        <w:start w:val="1"/>
        <w:numFmt w:val="bullet"/>
        <w:lvlText w:val="?"/>
        <w:legacy w:legacy="1" w:legacySpace="0" w:legacyIndent="360"/>
        <w:lvlJc w:val="left"/>
        <w:pPr>
          <w:ind w:left="927" w:hanging="360"/>
        </w:pPr>
        <w:rPr>
          <w:rFonts w:ascii="Wingdings 2" w:hAnsi="Wingdings 2" w:hint="default"/>
          <w:sz w:val="28"/>
        </w:rPr>
      </w:lvl>
    </w:lvlOverride>
  </w:num>
  <w:num w:numId="3">
    <w:abstractNumId w:val="2"/>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FF"/>
    <w:rsid w:val="00002144"/>
    <w:rsid w:val="000118DA"/>
    <w:rsid w:val="00031E4B"/>
    <w:rsid w:val="00037A6B"/>
    <w:rsid w:val="00045042"/>
    <w:rsid w:val="000511F5"/>
    <w:rsid w:val="00053CE4"/>
    <w:rsid w:val="00055E43"/>
    <w:rsid w:val="00064B4D"/>
    <w:rsid w:val="000A0535"/>
    <w:rsid w:val="000C2799"/>
    <w:rsid w:val="00100D5B"/>
    <w:rsid w:val="00117953"/>
    <w:rsid w:val="00122BA9"/>
    <w:rsid w:val="0012435F"/>
    <w:rsid w:val="00134E64"/>
    <w:rsid w:val="0016367F"/>
    <w:rsid w:val="001813A5"/>
    <w:rsid w:val="001B1B89"/>
    <w:rsid w:val="001B481E"/>
    <w:rsid w:val="001C2C13"/>
    <w:rsid w:val="001D03AC"/>
    <w:rsid w:val="001D28A5"/>
    <w:rsid w:val="001E4CB1"/>
    <w:rsid w:val="00226A2C"/>
    <w:rsid w:val="002339A8"/>
    <w:rsid w:val="002611FD"/>
    <w:rsid w:val="00261A1B"/>
    <w:rsid w:val="0026286D"/>
    <w:rsid w:val="002953CC"/>
    <w:rsid w:val="002A2EB0"/>
    <w:rsid w:val="002B0BCC"/>
    <w:rsid w:val="002D0D74"/>
    <w:rsid w:val="00303824"/>
    <w:rsid w:val="0030496B"/>
    <w:rsid w:val="00320543"/>
    <w:rsid w:val="003353AA"/>
    <w:rsid w:val="00336309"/>
    <w:rsid w:val="0034770E"/>
    <w:rsid w:val="00352C18"/>
    <w:rsid w:val="00361D88"/>
    <w:rsid w:val="003A3084"/>
    <w:rsid w:val="003A77BA"/>
    <w:rsid w:val="003B4F5B"/>
    <w:rsid w:val="003C5F7D"/>
    <w:rsid w:val="003D5B1F"/>
    <w:rsid w:val="003E1F9D"/>
    <w:rsid w:val="004216C5"/>
    <w:rsid w:val="004302DA"/>
    <w:rsid w:val="0043629D"/>
    <w:rsid w:val="00440DF8"/>
    <w:rsid w:val="00442714"/>
    <w:rsid w:val="00454F6D"/>
    <w:rsid w:val="00455354"/>
    <w:rsid w:val="00490F44"/>
    <w:rsid w:val="004966E8"/>
    <w:rsid w:val="004A135D"/>
    <w:rsid w:val="004A2908"/>
    <w:rsid w:val="004D1724"/>
    <w:rsid w:val="004D2BD6"/>
    <w:rsid w:val="004F7818"/>
    <w:rsid w:val="0050444B"/>
    <w:rsid w:val="0051252F"/>
    <w:rsid w:val="00535A71"/>
    <w:rsid w:val="00535E73"/>
    <w:rsid w:val="0056591F"/>
    <w:rsid w:val="00580A18"/>
    <w:rsid w:val="0059790A"/>
    <w:rsid w:val="005C09BA"/>
    <w:rsid w:val="005D12CE"/>
    <w:rsid w:val="005E3187"/>
    <w:rsid w:val="005F50CE"/>
    <w:rsid w:val="00607011"/>
    <w:rsid w:val="00663E3D"/>
    <w:rsid w:val="006660DC"/>
    <w:rsid w:val="0067425B"/>
    <w:rsid w:val="00683D0A"/>
    <w:rsid w:val="006971D8"/>
    <w:rsid w:val="006A4C61"/>
    <w:rsid w:val="006B2932"/>
    <w:rsid w:val="006C09DD"/>
    <w:rsid w:val="006C2C33"/>
    <w:rsid w:val="006C58D8"/>
    <w:rsid w:val="00712891"/>
    <w:rsid w:val="007305FD"/>
    <w:rsid w:val="00732A70"/>
    <w:rsid w:val="007452DA"/>
    <w:rsid w:val="007578A4"/>
    <w:rsid w:val="00797A0E"/>
    <w:rsid w:val="007B40C3"/>
    <w:rsid w:val="007B50C6"/>
    <w:rsid w:val="007B586D"/>
    <w:rsid w:val="007C5FBE"/>
    <w:rsid w:val="007D377B"/>
    <w:rsid w:val="007D3C25"/>
    <w:rsid w:val="007F79C0"/>
    <w:rsid w:val="0080722C"/>
    <w:rsid w:val="00825277"/>
    <w:rsid w:val="008503C6"/>
    <w:rsid w:val="00860733"/>
    <w:rsid w:val="00861055"/>
    <w:rsid w:val="008636A0"/>
    <w:rsid w:val="00877A3C"/>
    <w:rsid w:val="0088637E"/>
    <w:rsid w:val="008A153D"/>
    <w:rsid w:val="008A4BFA"/>
    <w:rsid w:val="008B1654"/>
    <w:rsid w:val="008B7441"/>
    <w:rsid w:val="008D30A1"/>
    <w:rsid w:val="008D7725"/>
    <w:rsid w:val="008E7369"/>
    <w:rsid w:val="00906EE8"/>
    <w:rsid w:val="0091081C"/>
    <w:rsid w:val="00911208"/>
    <w:rsid w:val="0092002C"/>
    <w:rsid w:val="0093351F"/>
    <w:rsid w:val="0094516B"/>
    <w:rsid w:val="00951450"/>
    <w:rsid w:val="009551FE"/>
    <w:rsid w:val="0098430C"/>
    <w:rsid w:val="009C318F"/>
    <w:rsid w:val="009C47CE"/>
    <w:rsid w:val="009D35C6"/>
    <w:rsid w:val="00A0710B"/>
    <w:rsid w:val="00A338FC"/>
    <w:rsid w:val="00A557FB"/>
    <w:rsid w:val="00A75020"/>
    <w:rsid w:val="00A80DB3"/>
    <w:rsid w:val="00AA1C22"/>
    <w:rsid w:val="00AA79F6"/>
    <w:rsid w:val="00AB4A3E"/>
    <w:rsid w:val="00AB6253"/>
    <w:rsid w:val="00AC6162"/>
    <w:rsid w:val="00AE1F36"/>
    <w:rsid w:val="00AE28E4"/>
    <w:rsid w:val="00B0007B"/>
    <w:rsid w:val="00B04AE3"/>
    <w:rsid w:val="00B06BF3"/>
    <w:rsid w:val="00B231BD"/>
    <w:rsid w:val="00B42845"/>
    <w:rsid w:val="00B66DD0"/>
    <w:rsid w:val="00B74BF9"/>
    <w:rsid w:val="00B95C9C"/>
    <w:rsid w:val="00BB32CB"/>
    <w:rsid w:val="00BC38C5"/>
    <w:rsid w:val="00BC58DC"/>
    <w:rsid w:val="00C059F5"/>
    <w:rsid w:val="00C21755"/>
    <w:rsid w:val="00C27564"/>
    <w:rsid w:val="00C33D1E"/>
    <w:rsid w:val="00C66A49"/>
    <w:rsid w:val="00C721CD"/>
    <w:rsid w:val="00CB69FF"/>
    <w:rsid w:val="00CC39EC"/>
    <w:rsid w:val="00CF4BC6"/>
    <w:rsid w:val="00D04C7A"/>
    <w:rsid w:val="00D13701"/>
    <w:rsid w:val="00D32C3A"/>
    <w:rsid w:val="00D40395"/>
    <w:rsid w:val="00DB149E"/>
    <w:rsid w:val="00DB6414"/>
    <w:rsid w:val="00DD7050"/>
    <w:rsid w:val="00E07380"/>
    <w:rsid w:val="00E21373"/>
    <w:rsid w:val="00E30855"/>
    <w:rsid w:val="00E53964"/>
    <w:rsid w:val="00E71634"/>
    <w:rsid w:val="00E80564"/>
    <w:rsid w:val="00E94A6E"/>
    <w:rsid w:val="00EC2B1A"/>
    <w:rsid w:val="00EC55F0"/>
    <w:rsid w:val="00F03B88"/>
    <w:rsid w:val="00F2016E"/>
    <w:rsid w:val="00F5249F"/>
    <w:rsid w:val="00F5530A"/>
    <w:rsid w:val="00F66D08"/>
    <w:rsid w:val="00F83D7A"/>
    <w:rsid w:val="00F94D43"/>
    <w:rsid w:val="00FB4FB4"/>
    <w:rsid w:val="00FE2F5C"/>
    <w:rsid w:val="00FE488E"/>
    <w:rsid w:val="00FE564D"/>
    <w:rsid w:val="00FE626F"/>
    <w:rsid w:val="00FF4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D2B3C2"/>
  <w15:chartTrackingRefBased/>
  <w15:docId w15:val="{70B516AD-FA8E-4FAE-9DDB-2C2A1EEB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B4D"/>
    <w:pPr>
      <w:overflowPunct w:val="0"/>
      <w:autoSpaceDE w:val="0"/>
      <w:autoSpaceDN w:val="0"/>
      <w:adjustRightInd w:val="0"/>
      <w:textAlignment w:val="baseline"/>
    </w:pPr>
    <w:rPr>
      <w:rFonts w:ascii="Arial" w:hAnsi="Arial"/>
      <w:sz w:val="23"/>
    </w:rPr>
  </w:style>
  <w:style w:type="paragraph" w:styleId="berschrift6">
    <w:name w:val="heading 6"/>
    <w:basedOn w:val="Standard"/>
    <w:next w:val="Standard"/>
    <w:qFormat/>
    <w:rsid w:val="00064B4D"/>
    <w:pPr>
      <w:keepNext/>
      <w:widowControl w:val="0"/>
      <w:jc w:val="both"/>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9551FE"/>
    <w:pPr>
      <w:tabs>
        <w:tab w:val="center" w:pos="4536"/>
        <w:tab w:val="right" w:pos="9072"/>
      </w:tabs>
      <w:spacing w:line="230" w:lineRule="exact"/>
    </w:pPr>
  </w:style>
  <w:style w:type="paragraph" w:styleId="Fuzeile">
    <w:name w:val="footer"/>
    <w:basedOn w:val="Standard"/>
    <w:pPr>
      <w:tabs>
        <w:tab w:val="center" w:pos="4536"/>
        <w:tab w:val="right" w:pos="9072"/>
      </w:tabs>
    </w:p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rPr>
      <w:sz w:val="20"/>
    </w:rPr>
  </w:style>
  <w:style w:type="paragraph" w:customStyle="1" w:styleId="Verfgung">
    <w:name w:val="Verfügung"/>
    <w:rsid w:val="008D7725"/>
    <w:pPr>
      <w:widowControl w:val="0"/>
      <w:spacing w:line="230" w:lineRule="atLeast"/>
      <w:ind w:hanging="425"/>
    </w:pPr>
    <w:rPr>
      <w:vanish/>
      <w:sz w:val="24"/>
    </w:rPr>
  </w:style>
  <w:style w:type="paragraph" w:customStyle="1" w:styleId="Leiste">
    <w:name w:val="Leiste"/>
    <w:rsid w:val="00045042"/>
    <w:pPr>
      <w:framePr w:w="4315" w:h="2552" w:hSpace="142" w:wrap="auto" w:vAnchor="page" w:hAnchor="page" w:x="7769" w:y="2921"/>
      <w:widowControl w:val="0"/>
      <w:tabs>
        <w:tab w:val="left" w:pos="1134"/>
        <w:tab w:val="left" w:pos="1701"/>
        <w:tab w:val="left" w:pos="8160"/>
      </w:tabs>
      <w:spacing w:line="180" w:lineRule="atLeast"/>
    </w:pPr>
    <w:rPr>
      <w:sz w:val="13"/>
    </w:rPr>
  </w:style>
  <w:style w:type="paragraph" w:customStyle="1" w:styleId="Adresse">
    <w:name w:val="Adresse"/>
    <w:link w:val="AdresseChar"/>
    <w:rsid w:val="009551FE"/>
    <w:pPr>
      <w:widowControl w:val="0"/>
    </w:pPr>
    <w:rPr>
      <w:sz w:val="24"/>
    </w:rPr>
  </w:style>
  <w:style w:type="paragraph" w:customStyle="1" w:styleId="anschrift">
    <w:name w:val="anschrift"/>
    <w:pPr>
      <w:framePr w:w="3969" w:hSpace="142" w:wrap="auto" w:vAnchor="page" w:hAnchor="page" w:x="1362" w:y="2666"/>
      <w:widowControl w:val="0"/>
      <w:jc w:val="center"/>
    </w:pPr>
    <w:rPr>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pPr>
      <w:framePr w:w="3686" w:h="737" w:hRule="exact" w:hSpace="142" w:wrap="auto" w:vAnchor="page" w:hAnchor="page" w:x="1419" w:y="1192"/>
      <w:widowControl w:val="0"/>
    </w:pPr>
    <w:rPr>
      <w:sz w:val="22"/>
    </w:rPr>
  </w:style>
  <w:style w:type="paragraph" w:customStyle="1" w:styleId="Betreff">
    <w:name w:val="Betreff"/>
    <w:basedOn w:val="Adresse"/>
    <w:rsid w:val="00DB149E"/>
    <w:pPr>
      <w:spacing w:before="120"/>
    </w:pPr>
    <w:rPr>
      <w:b/>
    </w:r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vanish/>
      <w:sz w:val="20"/>
    </w:rPr>
  </w:style>
  <w:style w:type="paragraph" w:customStyle="1" w:styleId="mit1">
    <w:name w:val="mit1"/>
    <w:basedOn w:val="Standard"/>
    <w:pPr>
      <w:pBdr>
        <w:bottom w:val="single" w:sz="6" w:space="1" w:color="auto"/>
        <w:right w:val="single" w:sz="6" w:space="1" w:color="auto"/>
      </w:pBdr>
      <w:spacing w:line="480" w:lineRule="auto"/>
      <w:ind w:left="-113"/>
      <w:jc w:val="center"/>
    </w:pPr>
    <w:rPr>
      <w:vanish/>
      <w:sz w:val="20"/>
    </w:rPr>
  </w:style>
  <w:style w:type="paragraph" w:customStyle="1" w:styleId="mit2">
    <w:name w:val="mit2"/>
    <w:basedOn w:val="Standard"/>
    <w:pPr>
      <w:pBdr>
        <w:bottom w:val="single" w:sz="6" w:space="1" w:color="auto"/>
      </w:pBdr>
      <w:spacing w:line="480" w:lineRule="auto"/>
      <w:ind w:left="-102"/>
      <w:jc w:val="center"/>
    </w:pPr>
    <w:rPr>
      <w:vanish/>
      <w:sz w:val="20"/>
    </w:rPr>
  </w:style>
  <w:style w:type="paragraph" w:customStyle="1" w:styleId="mit3">
    <w:name w:val="mit3"/>
    <w:basedOn w:val="Standard"/>
    <w:pPr>
      <w:pBdr>
        <w:right w:val="single" w:sz="6" w:space="1" w:color="auto"/>
      </w:pBdr>
      <w:spacing w:line="480" w:lineRule="auto"/>
    </w:pPr>
    <w:rPr>
      <w:vanish/>
      <w:sz w:val="20"/>
    </w:rPr>
  </w:style>
  <w:style w:type="paragraph" w:styleId="Textkrper">
    <w:name w:val="Body Text"/>
    <w:basedOn w:val="Standard"/>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rsid w:val="00EC55F0"/>
    <w:rPr>
      <w:color w:val="0000FF"/>
      <w:sz w:val="13"/>
      <w:u w:val="none"/>
    </w:rPr>
  </w:style>
  <w:style w:type="paragraph" w:customStyle="1" w:styleId="ADR">
    <w:name w:val="ADR"/>
    <w:basedOn w:val="Standard"/>
  </w:style>
  <w:style w:type="character" w:customStyle="1" w:styleId="Erstellungsdatum">
    <w:name w:val="Erstellungsdatum"/>
    <w:rPr>
      <w:rFonts w:ascii="Arial" w:hAnsi="Arial"/>
      <w:b/>
      <w:vanish/>
      <w:sz w:val="16"/>
    </w:rPr>
  </w:style>
  <w:style w:type="paragraph" w:customStyle="1" w:styleId="Dateiname">
    <w:name w:val="Dateiname"/>
    <w:basedOn w:val="Adresse"/>
    <w:link w:val="DateinameChar"/>
    <w:rsid w:val="003B4F5B"/>
    <w:pPr>
      <w:framePr w:w="9367" w:hSpace="142" w:wrap="around" w:vAnchor="page" w:hAnchor="text" w:y="341"/>
      <w:widowControl/>
    </w:pPr>
    <w:rPr>
      <w:rFonts w:ascii="Arial" w:hAnsi="Arial"/>
      <w:vanish/>
      <w:sz w:val="12"/>
      <w:szCs w:val="12"/>
    </w:rPr>
  </w:style>
  <w:style w:type="character" w:customStyle="1" w:styleId="AdresseChar">
    <w:name w:val="Adresse Char"/>
    <w:link w:val="Adresse"/>
    <w:rsid w:val="009551FE"/>
    <w:rPr>
      <w:sz w:val="24"/>
      <w:lang w:val="de-DE" w:eastAsia="de-DE" w:bidi="ar-SA"/>
    </w:rPr>
  </w:style>
  <w:style w:type="character" w:customStyle="1" w:styleId="DateinameChar">
    <w:name w:val="Dateiname Char"/>
    <w:link w:val="Dateiname"/>
    <w:rsid w:val="003B4F5B"/>
    <w:rPr>
      <w:rFonts w:ascii="Arial" w:hAnsi="Arial"/>
      <w:vanish/>
      <w:sz w:val="12"/>
      <w:szCs w:val="12"/>
      <w:lang w:val="de-DE" w:eastAsia="de-DE" w:bidi="ar-SA"/>
    </w:rPr>
  </w:style>
  <w:style w:type="paragraph" w:styleId="KeinLeerraum">
    <w:name w:val="No Spacing"/>
    <w:uiPriority w:val="1"/>
    <w:qFormat/>
    <w:rsid w:val="008636A0"/>
    <w:pPr>
      <w:overflowPunct w:val="0"/>
      <w:autoSpaceDE w:val="0"/>
      <w:autoSpaceDN w:val="0"/>
      <w:adjustRightInd w:val="0"/>
      <w:textAlignment w:val="baseline"/>
    </w:pPr>
    <w:rPr>
      <w:rFonts w:ascii="Arial" w:hAnsi="Arial"/>
      <w:sz w:val="23"/>
    </w:rPr>
  </w:style>
  <w:style w:type="character" w:customStyle="1" w:styleId="KopfzeileZchn">
    <w:name w:val="Kopfzeile Zchn"/>
    <w:link w:val="Kopfzeile"/>
    <w:rsid w:val="00B66DD0"/>
  </w:style>
  <w:style w:type="character" w:customStyle="1" w:styleId="UnresolvedMention">
    <w:name w:val="Unresolved Mention"/>
    <w:uiPriority w:val="99"/>
    <w:semiHidden/>
    <w:unhideWhenUsed/>
    <w:rsid w:val="00B6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m.de/lemo/kapitel/zweiter-weltkrie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piegel.de/video/ss-propagandafilm-ueber-theresienstadt-kz-als-ferien-idyll-video-1545441.html" TargetMode="External"/><Relationship Id="rId4" Type="http://schemas.openxmlformats.org/officeDocument/2006/relationships/webSettings" Target="webSettings.xml"/><Relationship Id="rId9" Type="http://schemas.openxmlformats.org/officeDocument/2006/relationships/hyperlink" Target="https://www.dhm.de/lemo/kapitel/der-zweite-weltkrieg/voelkermord/ghetto-theresienstadt.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stknas003\daten\wordvorlagen\HLZ\vorlagen\HLZKOPFC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HLZKOPFCI.dot</Template>
  <TotalTime>0</TotalTime>
  <Pages>2</Pages>
  <Words>892</Words>
  <Characters>5626</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6505</CharactersWithSpaces>
  <SharedDoc>false</SharedDoc>
  <HLinks>
    <vt:vector size="48" baseType="variant">
      <vt:variant>
        <vt:i4>2555952</vt:i4>
      </vt:variant>
      <vt:variant>
        <vt:i4>6</vt:i4>
      </vt:variant>
      <vt:variant>
        <vt:i4>0</vt:i4>
      </vt:variant>
      <vt:variant>
        <vt:i4>5</vt:i4>
      </vt:variant>
      <vt:variant>
        <vt:lpwstr>https://www.spiegel.de/video/ss-propagandafilm-ueber-theresienstadt-kz-als-ferien-idyll-video-1545441.html</vt:lpwstr>
      </vt:variant>
      <vt:variant>
        <vt:lpwstr/>
      </vt:variant>
      <vt:variant>
        <vt:i4>8323182</vt:i4>
      </vt:variant>
      <vt:variant>
        <vt:i4>3</vt:i4>
      </vt:variant>
      <vt:variant>
        <vt:i4>0</vt:i4>
      </vt:variant>
      <vt:variant>
        <vt:i4>5</vt:i4>
      </vt:variant>
      <vt:variant>
        <vt:lpwstr>https://www.dhm.de/lemo/kapitel/der-zweite-weltkrieg/voelkermord/ghetto-theresienstadt.html</vt:lpwstr>
      </vt:variant>
      <vt:variant>
        <vt:lpwstr/>
      </vt:variant>
      <vt:variant>
        <vt:i4>5701643</vt:i4>
      </vt:variant>
      <vt:variant>
        <vt:i4>0</vt:i4>
      </vt:variant>
      <vt:variant>
        <vt:i4>0</vt:i4>
      </vt:variant>
      <vt:variant>
        <vt:i4>5</vt:i4>
      </vt:variant>
      <vt:variant>
        <vt:lpwstr>https://www.dhm.de/lemo/kapitel/zweiter-weltkrieg</vt:lpwstr>
      </vt:variant>
      <vt:variant>
        <vt:lpwstr/>
      </vt:variant>
      <vt:variant>
        <vt:i4>524352</vt:i4>
      </vt:variant>
      <vt:variant>
        <vt:i4>12</vt:i4>
      </vt:variant>
      <vt:variant>
        <vt:i4>0</vt:i4>
      </vt:variant>
      <vt:variant>
        <vt:i4>5</vt:i4>
      </vt:variant>
      <vt:variant>
        <vt:lpwstr>http://www.juedisches-leben-frankfurt.de/</vt:lpwstr>
      </vt:variant>
      <vt:variant>
        <vt:lpwstr/>
      </vt:variant>
      <vt:variant>
        <vt:i4>786446</vt:i4>
      </vt:variant>
      <vt:variant>
        <vt:i4>9</vt:i4>
      </vt:variant>
      <vt:variant>
        <vt:i4>0</vt:i4>
      </vt:variant>
      <vt:variant>
        <vt:i4>5</vt:i4>
      </vt:variant>
      <vt:variant>
        <vt:lpwstr>http://www.hlz.hessen.de/</vt:lpwstr>
      </vt:variant>
      <vt:variant>
        <vt:lpwstr/>
      </vt:variant>
      <vt:variant>
        <vt:i4>524352</vt:i4>
      </vt:variant>
      <vt:variant>
        <vt:i4>6</vt:i4>
      </vt:variant>
      <vt:variant>
        <vt:i4>0</vt:i4>
      </vt:variant>
      <vt:variant>
        <vt:i4>5</vt:i4>
      </vt:variant>
      <vt:variant>
        <vt:lpwstr>http://www.juedisches-leben-frankfurt.de/</vt:lpwstr>
      </vt:variant>
      <vt:variant>
        <vt:lpwstr/>
      </vt:variant>
      <vt:variant>
        <vt:i4>786446</vt:i4>
      </vt:variant>
      <vt:variant>
        <vt:i4>3</vt:i4>
      </vt:variant>
      <vt:variant>
        <vt:i4>0</vt:i4>
      </vt:variant>
      <vt:variant>
        <vt:i4>5</vt:i4>
      </vt:variant>
      <vt:variant>
        <vt:lpwstr>http://www.hlz.hessen.de/</vt:lpwstr>
      </vt:variant>
      <vt:variant>
        <vt:lpwstr/>
      </vt:variant>
      <vt:variant>
        <vt:i4>1179718</vt:i4>
      </vt:variant>
      <vt:variant>
        <vt:i4>-1</vt:i4>
      </vt:variant>
      <vt:variant>
        <vt:i4>1057</vt:i4>
      </vt:variant>
      <vt:variant>
        <vt:i4>1</vt:i4>
      </vt:variant>
      <vt:variant>
        <vt:lpwstr>http://portal-auth.intern.hessen.de/irj/servlet/prt/portal/prtroot/slimp.CMReader/zentral_15/zentral_Intranet/med/26f/26f5a819-ca75-01e7-6cda-4d28a59560bb,11111111-1111-1111-1111-111111111111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cp:lastModifiedBy>Mallm, René (HLZ)</cp:lastModifiedBy>
  <cp:revision>2</cp:revision>
  <cp:lastPrinted>2024-02-21T14:13:00Z</cp:lastPrinted>
  <dcterms:created xsi:type="dcterms:W3CDTF">2024-07-05T08:45:00Z</dcterms:created>
  <dcterms:modified xsi:type="dcterms:W3CDTF">2024-07-05T08:45:00Z</dcterms:modified>
</cp:coreProperties>
</file>